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D57F1" w14:textId="5FC2A740" w:rsidR="00B33E8E" w:rsidRPr="00B33E8E" w:rsidRDefault="00B33E8E" w:rsidP="00A12B88">
      <w:pPr>
        <w:rPr>
          <w:b/>
          <w:bCs/>
          <w:sz w:val="28"/>
          <w:szCs w:val="28"/>
        </w:rPr>
      </w:pPr>
      <w:r w:rsidRPr="00B33E8E">
        <w:rPr>
          <w:b/>
          <w:bCs/>
          <w:sz w:val="28"/>
          <w:szCs w:val="28"/>
        </w:rPr>
        <w:t>Criteria Subsidie Beweegvriendelijke Leefomgeving 2023</w:t>
      </w:r>
    </w:p>
    <w:p w14:paraId="7908B3DC" w14:textId="77777777" w:rsidR="00B33E8E" w:rsidRDefault="00B33E8E" w:rsidP="00A12B88">
      <w:pPr>
        <w:rPr>
          <w:b/>
          <w:bCs/>
        </w:rPr>
      </w:pPr>
    </w:p>
    <w:p w14:paraId="5A987941" w14:textId="5C13A75E" w:rsidR="00A12B88" w:rsidRPr="00560236" w:rsidRDefault="00A12B88" w:rsidP="00A12B88">
      <w:pPr>
        <w:rPr>
          <w:b/>
          <w:bCs/>
        </w:rPr>
      </w:pPr>
      <w:r w:rsidRPr="00560236">
        <w:rPr>
          <w:b/>
          <w:bCs/>
        </w:rPr>
        <w:t>Criterium a: Bereik achterblijvende groepen (weegfactor 2)</w:t>
      </w:r>
    </w:p>
    <w:p w14:paraId="48589DD6" w14:textId="77777777" w:rsidR="00A12B88" w:rsidRDefault="00A12B88" w:rsidP="00A12B88">
      <w:r>
        <w:t>De mate waarin de activiteit aantoonbaar gericht is op en in sportief en recreatief bewegen achterblijvende groepen bereikt.</w:t>
      </w:r>
    </w:p>
    <w:p w14:paraId="6B0F62EC" w14:textId="77777777" w:rsidR="00B85668" w:rsidRDefault="00A12B88" w:rsidP="00A12B88">
      <w:r>
        <w:t>Toelichting: met dit criterium wordt bedoeld de mate waarin binnen de gehele bevolking vooral die groepen worden bereikt die het minst sportief en recreatief bewegen en die door meer te bewegen de meeste gezondheidswinst boeken</w:t>
      </w:r>
      <w:r w:rsidR="00B85668">
        <w:t>.</w:t>
      </w:r>
    </w:p>
    <w:p w14:paraId="0226260E" w14:textId="6B0CF492" w:rsidR="00A12B88" w:rsidRDefault="00A12B88" w:rsidP="00A12B88">
      <w:r>
        <w:t>De beoordeling is gericht op het bereik van in bewegen achterblijvende groepen:</w:t>
      </w:r>
    </w:p>
    <w:p w14:paraId="5CC0DA85" w14:textId="5D0C0547" w:rsidR="00A12B88" w:rsidRDefault="00A12B88" w:rsidP="00A12B88">
      <w:r>
        <w:t>• 5 punten: zeer hoog (voor 80% tot 100% gericht op het bereik van achterblijvende groepen)</w:t>
      </w:r>
    </w:p>
    <w:p w14:paraId="33738671" w14:textId="1922C59A" w:rsidR="00A12B88" w:rsidRDefault="00A12B88" w:rsidP="00A12B88">
      <w:r>
        <w:t>• 4 punten: hoog (voor 60% tot 80% gericht op het bereik van achterblijvende groepen)</w:t>
      </w:r>
    </w:p>
    <w:p w14:paraId="4CD02D24" w14:textId="2CB3F2C2" w:rsidR="00A12B88" w:rsidRDefault="00A12B88" w:rsidP="00A12B88">
      <w:r>
        <w:t>• 3 punten: middelhoog (voor 40% tot 60% gericht op het bereik van achterblijvende groepen)</w:t>
      </w:r>
    </w:p>
    <w:p w14:paraId="4A6EA606" w14:textId="2F46C187" w:rsidR="00A12B88" w:rsidRDefault="00A12B88" w:rsidP="00A12B88">
      <w:r>
        <w:t>• 2 punten: laag (voor 20% tot 40% gericht op het bereik van achterblijvende groepen)</w:t>
      </w:r>
    </w:p>
    <w:p w14:paraId="708487F4" w14:textId="36A33A64" w:rsidR="00A12B88" w:rsidRDefault="00A12B88" w:rsidP="00A12B88">
      <w:r>
        <w:t>• 1 punt: zeer laag (voor 0 tot 20% gericht op het bereik van achterblijvende groepen)</w:t>
      </w:r>
    </w:p>
    <w:p w14:paraId="54875ED1" w14:textId="77777777" w:rsidR="00B60F81" w:rsidRDefault="00B60F81" w:rsidP="00A12B88"/>
    <w:p w14:paraId="3C6AABB4" w14:textId="77777777" w:rsidR="00A12B88" w:rsidRPr="00560236" w:rsidRDefault="00A12B88" w:rsidP="00A12B88">
      <w:pPr>
        <w:rPr>
          <w:b/>
          <w:bCs/>
        </w:rPr>
      </w:pPr>
      <w:r w:rsidRPr="00560236">
        <w:rPr>
          <w:b/>
          <w:bCs/>
        </w:rPr>
        <w:t>Criterium b: Beweegarmoede (weegfactor 2)</w:t>
      </w:r>
    </w:p>
    <w:p w14:paraId="2793AAF6" w14:textId="77777777" w:rsidR="00A12B88" w:rsidRDefault="00A12B88" w:rsidP="00A12B88">
      <w:r>
        <w:t>De mate waarop de activiteit is gericht op locaties en buurten waar de beweegarmoede het grootst is.</w:t>
      </w:r>
    </w:p>
    <w:p w14:paraId="1F3945A4" w14:textId="0A5EA328" w:rsidR="00A12B88" w:rsidRDefault="00A12B88" w:rsidP="00A12B88">
      <w:r>
        <w:t xml:space="preserve">Toelichting: zoals bedoeld in artikel 9, derde lid, en aan de hand van de </w:t>
      </w:r>
      <w:hyperlink r:id="rId10" w:anchor="beweegrichtlijnen" w:history="1">
        <w:r w:rsidR="00C15541">
          <w:rPr>
            <w:rStyle w:val="Hyperlink"/>
          </w:rPr>
          <w:t>Beweegrichtlijnen</w:t>
        </w:r>
      </w:hyperlink>
      <w:r w:rsidR="00B60F81">
        <w:t xml:space="preserve">. </w:t>
      </w:r>
      <w:r>
        <w:t>De kaart met gegevens tot op buurtniveau kan worden gevonden via het invoeren van de zoekterm: ‘Voldoen aan de Beweegrichtlijnen gemeente, wijk en buurt (rivm.nl)‘.</w:t>
      </w:r>
    </w:p>
    <w:p w14:paraId="4599D8DB" w14:textId="4D594EB5" w:rsidR="00A12B88" w:rsidRDefault="00A12B88" w:rsidP="00A12B88">
      <w:r>
        <w:t>• 5 punten: zeer hoog (&lt;41% buurtbewoners dat voldoet aan de beweegrichtlijn)</w:t>
      </w:r>
    </w:p>
    <w:p w14:paraId="7EED8EDB" w14:textId="4E6A538E" w:rsidR="00A12B88" w:rsidRDefault="00A12B88" w:rsidP="00A12B88">
      <w:r>
        <w:t>• 4 punten: hoog (41-46% buurtbewoners dat voldoet aan de beweegrichtlijn)</w:t>
      </w:r>
    </w:p>
    <w:p w14:paraId="44DECD9F" w14:textId="047BF72A" w:rsidR="00A12B88" w:rsidRDefault="00A12B88" w:rsidP="00A12B88">
      <w:r>
        <w:t>• 3 punten: middelhoog( 46-50% buurtbewoners dat voldoet aan de beweegrichtlijn)</w:t>
      </w:r>
    </w:p>
    <w:p w14:paraId="1ED0354C" w14:textId="13CFB15D" w:rsidR="00A12B88" w:rsidRDefault="00A12B88" w:rsidP="00A12B88">
      <w:r>
        <w:t>• 2 punten: laag (50: 54% buurtbewoners dat voldoet aan de beweegrichtlijn)</w:t>
      </w:r>
    </w:p>
    <w:p w14:paraId="0F8CBE83" w14:textId="5C0B1C9F" w:rsidR="00A12B88" w:rsidRDefault="00A12B88" w:rsidP="00A12B88">
      <w:r>
        <w:t>• 1 punt: zeer laag (&gt;54% buurtbewoners dat voldoet aan de beweegrichtlijn)</w:t>
      </w:r>
    </w:p>
    <w:p w14:paraId="2575602A" w14:textId="77777777" w:rsidR="00A12B88" w:rsidRDefault="00A12B88" w:rsidP="00A12B88"/>
    <w:p w14:paraId="7497BAC9" w14:textId="3155E178" w:rsidR="00A12B88" w:rsidRPr="00560236" w:rsidRDefault="00A12B88" w:rsidP="00A12B88">
      <w:pPr>
        <w:rPr>
          <w:b/>
          <w:bCs/>
        </w:rPr>
      </w:pPr>
      <w:r w:rsidRPr="00560236">
        <w:rPr>
          <w:b/>
          <w:bCs/>
        </w:rPr>
        <w:t>Criterium c: Beweegvriendelijkheid omgeving (weegfactor 2)</w:t>
      </w:r>
    </w:p>
    <w:p w14:paraId="7BE598B8" w14:textId="77777777" w:rsidR="00A12B88" w:rsidRDefault="00A12B88" w:rsidP="00A12B88">
      <w:r>
        <w:t>De mate waarin de activiteit gericht is op locaties waar de beweegvriendelijkheid het laagst is.</w:t>
      </w:r>
    </w:p>
    <w:p w14:paraId="439B3D76" w14:textId="03473FDC" w:rsidR="00A12B88" w:rsidRDefault="00A12B88" w:rsidP="00A12B88">
      <w:r>
        <w:t xml:space="preserve">Toelichting: zoals bedoeld in artikel 9, derde lid. De beweegvriendelijkheid wordt bepaald aan de hand van de </w:t>
      </w:r>
      <w:hyperlink r:id="rId11" w:history="1">
        <w:r w:rsidR="00C2122E">
          <w:rPr>
            <w:rStyle w:val="Hyperlink"/>
          </w:rPr>
          <w:t>Kernindicator Beweegvriendelijke Leefomgeving</w:t>
        </w:r>
      </w:hyperlink>
      <w:r w:rsidR="00C2122E">
        <w:t>, waarbij tot op</w:t>
      </w:r>
      <w:r>
        <w:t xml:space="preserve"> buurtniveau kan worden ingezoomd.</w:t>
      </w:r>
    </w:p>
    <w:p w14:paraId="450032F9" w14:textId="7E873880" w:rsidR="00A12B88" w:rsidRDefault="00A12B88" w:rsidP="00A12B88">
      <w:r>
        <w:t>• 5 punten: zeer laag (&lt;20)</w:t>
      </w:r>
    </w:p>
    <w:p w14:paraId="101B8E1B" w14:textId="2F46CF20" w:rsidR="00A12B88" w:rsidRDefault="00A12B88" w:rsidP="00A12B88">
      <w:r>
        <w:t>• 4 punten: laag (20-40)</w:t>
      </w:r>
    </w:p>
    <w:p w14:paraId="3BA166F7" w14:textId="622CA489" w:rsidR="00A12B88" w:rsidRDefault="00A12B88" w:rsidP="00A12B88">
      <w:r>
        <w:t>• 3 punten: middelhoog(40-60)</w:t>
      </w:r>
    </w:p>
    <w:p w14:paraId="6C7C994A" w14:textId="523842EB" w:rsidR="00A12B88" w:rsidRDefault="00A12B88" w:rsidP="00A12B88">
      <w:r>
        <w:t>• 2 punten: hoog (60-80)</w:t>
      </w:r>
    </w:p>
    <w:p w14:paraId="60C2CCC1" w14:textId="74F3B165" w:rsidR="00A12B88" w:rsidRDefault="00A12B88" w:rsidP="00A12B88">
      <w:r>
        <w:t>• 1 punt: zeer hoog (80-100)</w:t>
      </w:r>
    </w:p>
    <w:p w14:paraId="203DDF96" w14:textId="77777777" w:rsidR="00B33E8E" w:rsidRDefault="00B33E8E" w:rsidP="00A12B88">
      <w:pPr>
        <w:rPr>
          <w:b/>
          <w:bCs/>
        </w:rPr>
      </w:pPr>
    </w:p>
    <w:p w14:paraId="2F62C32D" w14:textId="5E69E9DE" w:rsidR="00A12B88" w:rsidRPr="00560236" w:rsidRDefault="00A12B88" w:rsidP="00A12B88">
      <w:pPr>
        <w:rPr>
          <w:b/>
          <w:bCs/>
        </w:rPr>
      </w:pPr>
      <w:r w:rsidRPr="00560236">
        <w:rPr>
          <w:b/>
          <w:bCs/>
        </w:rPr>
        <w:t>Criterium d: Publieksbereik (weegfactor 2)</w:t>
      </w:r>
    </w:p>
    <w:p w14:paraId="757AF3A6" w14:textId="77777777" w:rsidR="00A12B88" w:rsidRDefault="00A12B88" w:rsidP="00A12B88">
      <w:r>
        <w:t>De mate waarin een zo groot mogelijk deel van de inwoners profiteert van de op sportief en recreatief bewegen gerichte activiteit.</w:t>
      </w:r>
    </w:p>
    <w:p w14:paraId="66C7BB55" w14:textId="77777777" w:rsidR="00A12B88" w:rsidRDefault="00A12B88" w:rsidP="00A12B88">
      <w:r>
        <w:t>Toelichting: met dit criterium wordt de inclusiviteit bedoeld. De beoordeling is gericht op brede deelname van de bevolking aan het sportief en recreatief bewegen, waar aspecten als bereikbaar, toegankelijk en aantrekkelijk een rol spelen:</w:t>
      </w:r>
    </w:p>
    <w:p w14:paraId="30DD0293" w14:textId="15813C02" w:rsidR="00A12B88" w:rsidRDefault="00A12B88" w:rsidP="00A12B88">
      <w:r>
        <w:t>• 5 punten: zeer hoog (voor 80% tot 100% gericht op brede deelname van de bevolking)</w:t>
      </w:r>
    </w:p>
    <w:p w14:paraId="13629F55" w14:textId="6DD969D1" w:rsidR="00A12B88" w:rsidRDefault="00A12B88" w:rsidP="00A12B88">
      <w:r>
        <w:t>• 4 punten: hoog (voor 60% tot 80% gericht op brede deelname van de bevolking)</w:t>
      </w:r>
    </w:p>
    <w:p w14:paraId="15838D2F" w14:textId="26148FCF" w:rsidR="00A12B88" w:rsidRDefault="00A12B88" w:rsidP="00A12B88">
      <w:r>
        <w:t>• 3 punten: middelhoog (voor 40% tot 60% gericht op brede deelname van de bevolking)</w:t>
      </w:r>
    </w:p>
    <w:p w14:paraId="53BC28FA" w14:textId="3E12665F" w:rsidR="00A12B88" w:rsidRDefault="00A12B88" w:rsidP="00A12B88">
      <w:r>
        <w:t>• 2 punten: laag (voor 20% tot 40% gericht op brede deelname van de bevolking)</w:t>
      </w:r>
    </w:p>
    <w:p w14:paraId="703DC382" w14:textId="6396B225" w:rsidR="00A12B88" w:rsidRDefault="00A12B88" w:rsidP="00A12B88">
      <w:r>
        <w:lastRenderedPageBreak/>
        <w:t>• 1 punt: zeer laag (voor 0 tot 20% gericht op brede deelname van de bevolking)</w:t>
      </w:r>
    </w:p>
    <w:p w14:paraId="6D0A089E" w14:textId="77777777" w:rsidR="00A12B88" w:rsidRDefault="00A12B88" w:rsidP="00A12B88"/>
    <w:p w14:paraId="7DB5624F" w14:textId="273D12E1" w:rsidR="00A12B88" w:rsidRPr="00560236" w:rsidRDefault="00A12B88" w:rsidP="00A12B88">
      <w:pPr>
        <w:rPr>
          <w:b/>
          <w:bCs/>
        </w:rPr>
      </w:pPr>
      <w:r w:rsidRPr="00560236">
        <w:rPr>
          <w:b/>
          <w:bCs/>
        </w:rPr>
        <w:t>Criterium e: Vraagsturing (weegfactor 2)</w:t>
      </w:r>
    </w:p>
    <w:p w14:paraId="5D9D8103" w14:textId="77777777" w:rsidR="00A12B88" w:rsidRDefault="00A12B88" w:rsidP="00A12B88">
      <w:r>
        <w:t>De mate waarin de activiteit aansluit op en voortkomt uit de behoeften van de bewoners.</w:t>
      </w:r>
    </w:p>
    <w:p w14:paraId="712E75E1" w14:textId="77777777" w:rsidR="00A12B88" w:rsidRDefault="00A12B88" w:rsidP="00A12B88">
      <w:r>
        <w:t>Toelichting: dit wordt zichtbaar door de mate waarin zij, zo mogelijk via intermediairs, betrokken zijn bij de aanvraag en realisatie en deze aanvraag aansluit bij hun behoeften aan sportief en recreatief bewegen (bij voorkeur van en voor de bewoners).</w:t>
      </w:r>
    </w:p>
    <w:p w14:paraId="64FBF57F" w14:textId="457F0210" w:rsidR="00A12B88" w:rsidRDefault="00A12B88" w:rsidP="00A12B88">
      <w:r>
        <w:t>• 5 punten: zeer hoog (voor 80% tot 100% aansluiting en / of betrokkenheid)</w:t>
      </w:r>
    </w:p>
    <w:p w14:paraId="3CE80853" w14:textId="04CC5DE6" w:rsidR="00A12B88" w:rsidRDefault="00A12B88" w:rsidP="00A12B88">
      <w:r>
        <w:t>• 4 punten: hoog (voor 60% tot 80% aansluiting en / of betrokkenheid)</w:t>
      </w:r>
    </w:p>
    <w:p w14:paraId="5FEEEE0A" w14:textId="6584131D" w:rsidR="00A12B88" w:rsidRDefault="00A12B88" w:rsidP="00A12B88">
      <w:r>
        <w:t>• 3 punten: middel hoog (voor 40% tot 60% aansluiting en / of betrokkenheid)</w:t>
      </w:r>
    </w:p>
    <w:p w14:paraId="110DB0AB" w14:textId="64B0A4D1" w:rsidR="00A12B88" w:rsidRDefault="00A12B88" w:rsidP="00A12B88">
      <w:r>
        <w:t>• 2 punten: laag (voor 20% tot 40% aansluiting en / of betrokkenheid)</w:t>
      </w:r>
    </w:p>
    <w:p w14:paraId="78B39ABF" w14:textId="5F1FB40F" w:rsidR="00A12B88" w:rsidRDefault="00A12B88" w:rsidP="00A12B88">
      <w:r>
        <w:t>• 1 punt: zeer laag (voor 0% tot 20% aansluiting en / of betrokkenheid)</w:t>
      </w:r>
    </w:p>
    <w:p w14:paraId="1D448168" w14:textId="77777777" w:rsidR="00A12B88" w:rsidRDefault="00A12B88" w:rsidP="00A12B88"/>
    <w:p w14:paraId="68253B89" w14:textId="77777777" w:rsidR="00A12B88" w:rsidRPr="00560236" w:rsidRDefault="00A12B88" w:rsidP="00A12B88">
      <w:pPr>
        <w:rPr>
          <w:b/>
          <w:bCs/>
        </w:rPr>
      </w:pPr>
      <w:r w:rsidRPr="00560236">
        <w:rPr>
          <w:b/>
          <w:bCs/>
        </w:rPr>
        <w:t>Criterium f: Samenwerking (weegfactor 1)</w:t>
      </w:r>
    </w:p>
    <w:p w14:paraId="3399C9A5" w14:textId="77777777" w:rsidR="00A12B88" w:rsidRDefault="00A12B88" w:rsidP="00A12B88">
      <w:r>
        <w:t>De mate waarin ontwerp, ontwikkeling en /of realisatie van de activiteit tot stand komt in samenwerking met andere partijen.</w:t>
      </w:r>
    </w:p>
    <w:p w14:paraId="0CBEE540" w14:textId="77777777" w:rsidR="00A12B88" w:rsidRDefault="00A12B88" w:rsidP="00A12B88">
      <w:r>
        <w:t>Toelichting: met dit criterium wordt bedoeld de mate waarin het project is gericht op samenwerking met andere organisaties (voor, tijdens en na realisatie)</w:t>
      </w:r>
    </w:p>
    <w:p w14:paraId="623ACA12" w14:textId="1606AE7D" w:rsidR="00A12B88" w:rsidRDefault="00A12B88" w:rsidP="00A12B88">
      <w:r>
        <w:t>• 5 punten: zeer veel (voor 80% tot 100% gebaseerd op samenwerking)</w:t>
      </w:r>
    </w:p>
    <w:p w14:paraId="20DB05F9" w14:textId="2E90A862" w:rsidR="00A12B88" w:rsidRDefault="00A12B88" w:rsidP="00A12B88">
      <w:r>
        <w:t>• 4 punten: veel (voor 60% tot 80% gebaseerd op samenwerking)</w:t>
      </w:r>
    </w:p>
    <w:p w14:paraId="29C71B46" w14:textId="5A7A659B" w:rsidR="00A12B88" w:rsidRDefault="00A12B88" w:rsidP="00A12B88">
      <w:r>
        <w:t>• 3 punten: middelhoog (voor 40% tot 60% gebaseerd op samenwerking)</w:t>
      </w:r>
    </w:p>
    <w:p w14:paraId="7D80CECC" w14:textId="18875E2A" w:rsidR="00A12B88" w:rsidRDefault="00A12B88" w:rsidP="00A12B88">
      <w:r>
        <w:t>• 2 punten: laag (voor 20% tot 40% gebaseerd op samenwerking)</w:t>
      </w:r>
    </w:p>
    <w:p w14:paraId="3928BE56" w14:textId="5D2C25E3" w:rsidR="00A12B88" w:rsidRDefault="00A12B88" w:rsidP="00A12B88">
      <w:r>
        <w:t>• 1 punt: zeer laag (voor 0% tot 20% gebaseerd op samenwerking)</w:t>
      </w:r>
    </w:p>
    <w:p w14:paraId="4E06C73A" w14:textId="77777777" w:rsidR="00A12B88" w:rsidRDefault="00A12B88" w:rsidP="00A12B88"/>
    <w:p w14:paraId="7CA3CF55" w14:textId="01B669D5" w:rsidR="00A12B88" w:rsidRPr="00560236" w:rsidRDefault="00A12B88" w:rsidP="00A12B88">
      <w:pPr>
        <w:rPr>
          <w:b/>
          <w:bCs/>
        </w:rPr>
      </w:pPr>
      <w:r w:rsidRPr="00560236">
        <w:rPr>
          <w:b/>
          <w:bCs/>
        </w:rPr>
        <w:t>Criterium g: Kennisdeling (weegfactor 1)</w:t>
      </w:r>
    </w:p>
    <w:p w14:paraId="020DB135" w14:textId="77777777" w:rsidR="00A12B88" w:rsidRDefault="00A12B88" w:rsidP="00A12B88">
      <w:r>
        <w:t>De mate waarin kennisdeling plaats vindt voor, tijdens en na de aanvraag en realisatie.</w:t>
      </w:r>
    </w:p>
    <w:p w14:paraId="4B58EE7E" w14:textId="77777777" w:rsidR="00A12B88" w:rsidRDefault="00A12B88" w:rsidP="00A12B88">
      <w:r>
        <w:t>Toelichting: met dit criterium willen we bereiken dat succesvolle projecten herhaald, gedeeld en/of door derden overgenomen kunnen worden (‘voorbeeldwerking).</w:t>
      </w:r>
    </w:p>
    <w:p w14:paraId="3E533434" w14:textId="27397612" w:rsidR="00A12B88" w:rsidRDefault="00A12B88" w:rsidP="00A12B88">
      <w:r>
        <w:t>• 5 punten: zeer veel (van 80% tot 100% van de tijd voor, tijdens en na aanvraag en realisatie vindt kennisdeling plaats)</w:t>
      </w:r>
    </w:p>
    <w:p w14:paraId="528959AC" w14:textId="7C4CD061" w:rsidR="00A12B88" w:rsidRDefault="00A12B88" w:rsidP="00A12B88">
      <w:r>
        <w:t>• 4 punten: veel (van 60% tot 80% van de tijd voor, tijdens en na aanvraag en realisatie vindt kennisdeling plaats)</w:t>
      </w:r>
    </w:p>
    <w:p w14:paraId="4D109C11" w14:textId="06D866DF" w:rsidR="00A12B88" w:rsidRDefault="00A12B88" w:rsidP="00A12B88">
      <w:r>
        <w:t>• 3 punten: middelmatig (van 40% tot 60% van de tijd voor, tijdens en na aanvraag en realisatie vindt kennisdeling plaats)</w:t>
      </w:r>
    </w:p>
    <w:p w14:paraId="2AF64A03" w14:textId="128D11F0" w:rsidR="00A12B88" w:rsidRDefault="00A12B88" w:rsidP="00A12B88">
      <w:r>
        <w:t>• 2 punten: laag (van 20% tot 40% van de tijd voor, tijdens en na aanvraag en realisatie vindt kennisdeling plaats)</w:t>
      </w:r>
    </w:p>
    <w:p w14:paraId="2FCB7F11" w14:textId="18FDD657" w:rsidR="00E4566B" w:rsidRPr="00E4566B" w:rsidRDefault="00A12B88" w:rsidP="00A12B88">
      <w:r>
        <w:t>• 1 punt: zeer laag (van 0% tot 20% van de tijd voor, tijdens en na aanvraag en realisatie vindt kennisdeling plaats)</w:t>
      </w:r>
    </w:p>
    <w:sectPr w:rsidR="00E4566B" w:rsidRPr="00E4566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0E302" w14:textId="77777777" w:rsidR="0094173F" w:rsidRDefault="0094173F" w:rsidP="00907FEA">
      <w:pPr>
        <w:spacing w:line="240" w:lineRule="auto"/>
      </w:pPr>
      <w:r>
        <w:separator/>
      </w:r>
    </w:p>
  </w:endnote>
  <w:endnote w:type="continuationSeparator" w:id="0">
    <w:p w14:paraId="6781E511" w14:textId="77777777" w:rsidR="0094173F" w:rsidRDefault="0094173F" w:rsidP="00907F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E9EE3" w14:textId="77777777" w:rsidR="0094173F" w:rsidRDefault="0094173F" w:rsidP="00907FEA">
      <w:pPr>
        <w:spacing w:line="240" w:lineRule="auto"/>
      </w:pPr>
      <w:r>
        <w:separator/>
      </w:r>
    </w:p>
  </w:footnote>
  <w:footnote w:type="continuationSeparator" w:id="0">
    <w:p w14:paraId="2367CD3C" w14:textId="77777777" w:rsidR="0094173F" w:rsidRDefault="0094173F" w:rsidP="00907FE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B88"/>
    <w:rsid w:val="00030B75"/>
    <w:rsid w:val="000519FC"/>
    <w:rsid w:val="000C0A65"/>
    <w:rsid w:val="000C23B0"/>
    <w:rsid w:val="000D6EC9"/>
    <w:rsid w:val="000E7297"/>
    <w:rsid w:val="00104409"/>
    <w:rsid w:val="00133268"/>
    <w:rsid w:val="00171961"/>
    <w:rsid w:val="00174F33"/>
    <w:rsid w:val="001B687C"/>
    <w:rsid w:val="00260DE1"/>
    <w:rsid w:val="003048D9"/>
    <w:rsid w:val="0030699E"/>
    <w:rsid w:val="003214FC"/>
    <w:rsid w:val="003D5F0D"/>
    <w:rsid w:val="003F20F0"/>
    <w:rsid w:val="003F6981"/>
    <w:rsid w:val="00430B8A"/>
    <w:rsid w:val="00495B0E"/>
    <w:rsid w:val="004D49A0"/>
    <w:rsid w:val="004F6985"/>
    <w:rsid w:val="00560236"/>
    <w:rsid w:val="005D0A84"/>
    <w:rsid w:val="005D649B"/>
    <w:rsid w:val="00611728"/>
    <w:rsid w:val="00721828"/>
    <w:rsid w:val="00796DDA"/>
    <w:rsid w:val="007A08B4"/>
    <w:rsid w:val="00841E25"/>
    <w:rsid w:val="0085311D"/>
    <w:rsid w:val="008B30B7"/>
    <w:rsid w:val="008C3DB4"/>
    <w:rsid w:val="00907FEA"/>
    <w:rsid w:val="009136C0"/>
    <w:rsid w:val="0094173F"/>
    <w:rsid w:val="00983781"/>
    <w:rsid w:val="00994140"/>
    <w:rsid w:val="009A1C9A"/>
    <w:rsid w:val="009A479C"/>
    <w:rsid w:val="00A12B88"/>
    <w:rsid w:val="00A3023C"/>
    <w:rsid w:val="00A6403E"/>
    <w:rsid w:val="00A8134A"/>
    <w:rsid w:val="00A93B8C"/>
    <w:rsid w:val="00AA57F4"/>
    <w:rsid w:val="00AF2566"/>
    <w:rsid w:val="00AF6CCC"/>
    <w:rsid w:val="00B02ABD"/>
    <w:rsid w:val="00B05ADC"/>
    <w:rsid w:val="00B33E8E"/>
    <w:rsid w:val="00B60F81"/>
    <w:rsid w:val="00B83BAB"/>
    <w:rsid w:val="00B85668"/>
    <w:rsid w:val="00BA423A"/>
    <w:rsid w:val="00BE3F9C"/>
    <w:rsid w:val="00BF186D"/>
    <w:rsid w:val="00C15541"/>
    <w:rsid w:val="00C2122E"/>
    <w:rsid w:val="00C36178"/>
    <w:rsid w:val="00D00C79"/>
    <w:rsid w:val="00D15CBA"/>
    <w:rsid w:val="00D55313"/>
    <w:rsid w:val="00D82607"/>
    <w:rsid w:val="00D84D11"/>
    <w:rsid w:val="00E15655"/>
    <w:rsid w:val="00E30388"/>
    <w:rsid w:val="00E40ADF"/>
    <w:rsid w:val="00E4566B"/>
    <w:rsid w:val="00E6403B"/>
    <w:rsid w:val="00F025C8"/>
    <w:rsid w:val="00F10FE3"/>
    <w:rsid w:val="00F31F55"/>
    <w:rsid w:val="00F420A3"/>
    <w:rsid w:val="00F449D7"/>
    <w:rsid w:val="00F700E8"/>
    <w:rsid w:val="00F85FA4"/>
    <w:rsid w:val="00F90BBA"/>
    <w:rsid w:val="00FA3C29"/>
    <w:rsid w:val="00FB1871"/>
    <w:rsid w:val="00FB5130"/>
    <w:rsid w:val="00FD296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5494F9"/>
  <w15:chartTrackingRefBased/>
  <w15:docId w15:val="{4F0CDE7B-2097-4276-B5C7-B58C21EEB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82607"/>
    <w:pPr>
      <w:spacing w:after="0" w:line="284" w:lineRule="atLeast"/>
    </w:pPr>
    <w:rPr>
      <w:rFonts w:ascii="Calibri" w:hAnsi="Calibri" w:cs="Arial"/>
    </w:rPr>
  </w:style>
  <w:style w:type="paragraph" w:styleId="Kop1">
    <w:name w:val="heading 1"/>
    <w:basedOn w:val="Standaard"/>
    <w:next w:val="Standaard"/>
    <w:link w:val="Kop1Char"/>
    <w:uiPriority w:val="9"/>
    <w:qFormat/>
    <w:rsid w:val="009A1C9A"/>
    <w:pPr>
      <w:keepNext/>
      <w:keepLines/>
      <w:spacing w:before="240"/>
      <w:outlineLvl w:val="0"/>
    </w:pPr>
    <w:rPr>
      <w:rFonts w:eastAsiaTheme="majorEastAsia" w:cstheme="majorBidi"/>
      <w:color w:val="281F6B"/>
      <w:sz w:val="32"/>
      <w:szCs w:val="32"/>
    </w:rPr>
  </w:style>
  <w:style w:type="paragraph" w:styleId="Kop2">
    <w:name w:val="heading 2"/>
    <w:basedOn w:val="Standaard"/>
    <w:next w:val="Standaard"/>
    <w:link w:val="Kop2Char"/>
    <w:uiPriority w:val="9"/>
    <w:unhideWhenUsed/>
    <w:qFormat/>
    <w:rsid w:val="009A1C9A"/>
    <w:pPr>
      <w:keepNext/>
      <w:keepLines/>
      <w:spacing w:before="40"/>
      <w:outlineLvl w:val="1"/>
    </w:pPr>
    <w:rPr>
      <w:rFonts w:eastAsiaTheme="majorEastAsia" w:cstheme="majorBidi"/>
      <w:color w:val="281F6B"/>
      <w:sz w:val="26"/>
      <w:szCs w:val="26"/>
    </w:rPr>
  </w:style>
  <w:style w:type="paragraph" w:styleId="Kop3">
    <w:name w:val="heading 3"/>
    <w:basedOn w:val="Standaard"/>
    <w:next w:val="Standaard"/>
    <w:link w:val="Kop3Char"/>
    <w:uiPriority w:val="9"/>
    <w:unhideWhenUsed/>
    <w:qFormat/>
    <w:rsid w:val="009A1C9A"/>
    <w:pPr>
      <w:keepNext/>
      <w:keepLines/>
      <w:spacing w:before="40"/>
      <w:outlineLvl w:val="2"/>
    </w:pPr>
    <w:rPr>
      <w:rFonts w:eastAsiaTheme="majorEastAsia" w:cstheme="majorBidi"/>
      <w:color w:val="281F6B"/>
      <w:sz w:val="24"/>
      <w:szCs w:val="24"/>
    </w:rPr>
  </w:style>
  <w:style w:type="paragraph" w:styleId="Kop4">
    <w:name w:val="heading 4"/>
    <w:basedOn w:val="Standaard"/>
    <w:next w:val="Standaard"/>
    <w:link w:val="Kop4Char"/>
    <w:uiPriority w:val="9"/>
    <w:semiHidden/>
    <w:unhideWhenUsed/>
    <w:rsid w:val="009A1C9A"/>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A1C9A"/>
    <w:rPr>
      <w:rFonts w:ascii="Calibri" w:eastAsiaTheme="majorEastAsia" w:hAnsi="Calibri" w:cstheme="majorBidi"/>
      <w:color w:val="281F6B"/>
      <w:sz w:val="32"/>
      <w:szCs w:val="32"/>
    </w:rPr>
  </w:style>
  <w:style w:type="character" w:customStyle="1" w:styleId="Kop2Char">
    <w:name w:val="Kop 2 Char"/>
    <w:basedOn w:val="Standaardalinea-lettertype"/>
    <w:link w:val="Kop2"/>
    <w:uiPriority w:val="9"/>
    <w:rsid w:val="009A1C9A"/>
    <w:rPr>
      <w:rFonts w:ascii="Calibri" w:eastAsiaTheme="majorEastAsia" w:hAnsi="Calibri" w:cstheme="majorBidi"/>
      <w:color w:val="281F6B"/>
      <w:sz w:val="26"/>
      <w:szCs w:val="26"/>
    </w:rPr>
  </w:style>
  <w:style w:type="character" w:customStyle="1" w:styleId="Kop3Char">
    <w:name w:val="Kop 3 Char"/>
    <w:basedOn w:val="Standaardalinea-lettertype"/>
    <w:link w:val="Kop3"/>
    <w:uiPriority w:val="9"/>
    <w:rsid w:val="009A1C9A"/>
    <w:rPr>
      <w:rFonts w:ascii="Calibri" w:eastAsiaTheme="majorEastAsia" w:hAnsi="Calibri" w:cstheme="majorBidi"/>
      <w:color w:val="281F6B"/>
      <w:sz w:val="24"/>
      <w:szCs w:val="24"/>
    </w:rPr>
  </w:style>
  <w:style w:type="character" w:customStyle="1" w:styleId="Kop4Char">
    <w:name w:val="Kop 4 Char"/>
    <w:basedOn w:val="Standaardalinea-lettertype"/>
    <w:link w:val="Kop4"/>
    <w:uiPriority w:val="9"/>
    <w:semiHidden/>
    <w:rsid w:val="009A1C9A"/>
    <w:rPr>
      <w:rFonts w:asciiTheme="majorHAnsi" w:eastAsiaTheme="majorEastAsia" w:hAnsiTheme="majorHAnsi" w:cstheme="majorBidi"/>
      <w:i/>
      <w:iCs/>
      <w:color w:val="2F5496" w:themeColor="accent1" w:themeShade="BF"/>
      <w:sz w:val="19"/>
    </w:rPr>
  </w:style>
  <w:style w:type="character" w:styleId="Hyperlink">
    <w:name w:val="Hyperlink"/>
    <w:basedOn w:val="Standaardalinea-lettertype"/>
    <w:uiPriority w:val="99"/>
    <w:unhideWhenUsed/>
    <w:rsid w:val="00B05ADC"/>
    <w:rPr>
      <w:color w:val="0563C1" w:themeColor="hyperlink"/>
      <w:u w:val="single"/>
    </w:rPr>
  </w:style>
  <w:style w:type="character" w:styleId="Onopgelostemelding">
    <w:name w:val="Unresolved Mention"/>
    <w:basedOn w:val="Standaardalinea-lettertype"/>
    <w:uiPriority w:val="99"/>
    <w:semiHidden/>
    <w:unhideWhenUsed/>
    <w:rsid w:val="00B05ADC"/>
    <w:rPr>
      <w:color w:val="605E5C"/>
      <w:shd w:val="clear" w:color="auto" w:fill="E1DFDD"/>
    </w:rPr>
  </w:style>
  <w:style w:type="character" w:styleId="GevolgdeHyperlink">
    <w:name w:val="FollowedHyperlink"/>
    <w:basedOn w:val="Standaardalinea-lettertype"/>
    <w:uiPriority w:val="99"/>
    <w:semiHidden/>
    <w:unhideWhenUsed/>
    <w:rsid w:val="00B05AD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tlasleefomgeving.nl/kaarten?config=3ef897de-127f-471a-959b-93b7597de188&amp;activateOnStart=layercollection&amp;gm-x=150000&amp;gm-y=460000&amp;gm-z=3&amp;gm-b=1544180834512,true,1;1632299703157,true,0.7&amp;activeTools=layercollection,search,info,bookmark,measure,draw,koeltorens" TargetMode="External"/><Relationship Id="rId5" Type="http://schemas.openxmlformats.org/officeDocument/2006/relationships/styles" Target="styles.xml"/><Relationship Id="rId10" Type="http://schemas.openxmlformats.org/officeDocument/2006/relationships/hyperlink" Target="https://buurtatlas.vzinfo.nl/" TargetMode="Externa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3bff38c-e9b4-4c71-b83e-0a9821d2001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A920A50D5B70244ABC5CE1C462E62EE" ma:contentTypeVersion="15" ma:contentTypeDescription="Een nieuw document maken." ma:contentTypeScope="" ma:versionID="8d31d4be084faf3b9b199e5418fcd98d">
  <xsd:schema xmlns:xsd="http://www.w3.org/2001/XMLSchema" xmlns:xs="http://www.w3.org/2001/XMLSchema" xmlns:p="http://schemas.microsoft.com/office/2006/metadata/properties" xmlns:ns3="c3bff38c-e9b4-4c71-b83e-0a9821d20017" xmlns:ns4="29498472-9c1b-4fb9-993f-9fda77c69a1c" targetNamespace="http://schemas.microsoft.com/office/2006/metadata/properties" ma:root="true" ma:fieldsID="d47ca4c5a39390ba9980c756013d45e1" ns3:_="" ns4:_="">
    <xsd:import namespace="c3bff38c-e9b4-4c71-b83e-0a9821d20017"/>
    <xsd:import namespace="29498472-9c1b-4fb9-993f-9fda77c69a1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bff38c-e9b4-4c71-b83e-0a9821d200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498472-9c1b-4fb9-993f-9fda77c69a1c"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SharingHintHash" ma:index="16"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D89D17-6888-4BC1-A187-D0594BB1CB97}">
  <ds:schemaRefs>
    <ds:schemaRef ds:uri="http://schemas.microsoft.com/office/2006/metadata/properties"/>
    <ds:schemaRef ds:uri="http://schemas.microsoft.com/office/infopath/2007/PartnerControls"/>
    <ds:schemaRef ds:uri="c3bff38c-e9b4-4c71-b83e-0a9821d20017"/>
  </ds:schemaRefs>
</ds:datastoreItem>
</file>

<file path=customXml/itemProps2.xml><?xml version="1.0" encoding="utf-8"?>
<ds:datastoreItem xmlns:ds="http://schemas.openxmlformats.org/officeDocument/2006/customXml" ds:itemID="{105C2BB2-E982-48A2-B7ED-E2302626D7EA}">
  <ds:schemaRefs>
    <ds:schemaRef ds:uri="http://schemas.microsoft.com/sharepoint/v3/contenttype/forms"/>
  </ds:schemaRefs>
</ds:datastoreItem>
</file>

<file path=customXml/itemProps3.xml><?xml version="1.0" encoding="utf-8"?>
<ds:datastoreItem xmlns:ds="http://schemas.openxmlformats.org/officeDocument/2006/customXml" ds:itemID="{0C8825EB-0DEC-4C1F-8CD9-1401DC85D248}">
  <ds:schemaRefs>
    <ds:schemaRef ds:uri="http://schemas.openxmlformats.org/officeDocument/2006/bibliography"/>
  </ds:schemaRefs>
</ds:datastoreItem>
</file>

<file path=customXml/itemProps4.xml><?xml version="1.0" encoding="utf-8"?>
<ds:datastoreItem xmlns:ds="http://schemas.openxmlformats.org/officeDocument/2006/customXml" ds:itemID="{60900AED-EEAF-429A-A814-FE0ABDECB8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bff38c-e9b4-4c71-b83e-0a9821d20017"/>
    <ds:schemaRef ds:uri="29498472-9c1b-4fb9-993f-9fda77c69a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855</Words>
  <Characters>4880</Characters>
  <Application>Microsoft Office Word</Application>
  <DocSecurity>0</DocSecurity>
  <Lines>40</Lines>
  <Paragraphs>11</Paragraphs>
  <ScaleCrop>false</ScaleCrop>
  <Company/>
  <LinksUpToDate>false</LinksUpToDate>
  <CharactersWithSpaces>5724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 Brouwer</dc:creator>
  <cp:keywords/>
  <dc:description/>
  <cp:lastModifiedBy>Jos Brouwer</cp:lastModifiedBy>
  <cp:revision>9</cp:revision>
  <dcterms:created xsi:type="dcterms:W3CDTF">2023-10-12T18:05:00Z</dcterms:created>
  <dcterms:modified xsi:type="dcterms:W3CDTF">2023-10-12T18:12:00Z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0x0101007A920A50D5B70244ABC5CE1C462E62EE</vt:lpwstr>
  </property>
</Properties>
</file>